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6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7"/>
        <w:gridCol w:w="5300"/>
        <w:gridCol w:w="3702"/>
        <w:gridCol w:w="2671"/>
      </w:tblGrid>
      <w:tr w:rsidR="00C16C27" w:rsidRPr="00E867D1" w:rsidTr="00C16C27">
        <w:trPr>
          <w:cantSplit/>
          <w:trHeight w:val="630"/>
          <w:tblHeader/>
        </w:trPr>
        <w:tc>
          <w:tcPr>
            <w:tcW w:w="5000" w:type="pct"/>
            <w:gridSpan w:val="5"/>
            <w:tcBorders>
              <w:top w:val="nil"/>
              <w:left w:val="nil"/>
              <w:bottom w:val="nil"/>
              <w:right w:val="nil"/>
            </w:tcBorders>
            <w:shd w:val="clear" w:color="auto" w:fill="auto"/>
            <w:noWrap/>
            <w:vAlign w:val="center"/>
          </w:tcPr>
          <w:p w:rsidR="00C16C27" w:rsidRDefault="00C16C27" w:rsidP="00F92A59">
            <w:pPr>
              <w:spacing w:after="0" w:line="240" w:lineRule="auto"/>
              <w:jc w:val="center"/>
              <w:rPr>
                <w:rFonts w:ascii="Times New Roman" w:hAnsi="Times New Roman" w:cs="Times New Roman"/>
                <w:b/>
                <w:sz w:val="26"/>
                <w:szCs w:val="26"/>
              </w:rPr>
            </w:pPr>
            <w:bookmarkStart w:id="0" w:name="_GoBack"/>
            <w:bookmarkEnd w:id="0"/>
            <w:r w:rsidRPr="00E867D1">
              <w:rPr>
                <w:rFonts w:ascii="Times New Roman" w:hAnsi="Times New Roman" w:cs="Times New Roman"/>
                <w:b/>
                <w:sz w:val="26"/>
                <w:szCs w:val="26"/>
              </w:rPr>
              <w:t>BẢNG TỔNG HỢP, GIẢI TRÌNH</w:t>
            </w:r>
            <w:r w:rsidR="00344051">
              <w:rPr>
                <w:rFonts w:ascii="Times New Roman" w:hAnsi="Times New Roman" w:cs="Times New Roman"/>
                <w:b/>
                <w:sz w:val="26"/>
                <w:szCs w:val="26"/>
              </w:rPr>
              <w:t>,</w:t>
            </w:r>
            <w:r w:rsidRPr="00E867D1">
              <w:rPr>
                <w:rFonts w:ascii="Times New Roman" w:hAnsi="Times New Roman" w:cs="Times New Roman"/>
                <w:b/>
                <w:sz w:val="26"/>
                <w:szCs w:val="26"/>
              </w:rPr>
              <w:t xml:space="preserve"> TIẾP THU Ý KIẾN GÓP Ý CỦA CÁC CƠ QUAN, ĐƠN VỊ, ĐỊ</w:t>
            </w:r>
            <w:r>
              <w:rPr>
                <w:rFonts w:ascii="Times New Roman" w:hAnsi="Times New Roman" w:cs="Times New Roman"/>
                <w:b/>
                <w:sz w:val="26"/>
                <w:szCs w:val="26"/>
              </w:rPr>
              <w:t>A PHƯƠNG</w:t>
            </w:r>
          </w:p>
          <w:p w:rsidR="00C16C27" w:rsidRPr="00B4729D" w:rsidRDefault="00C16C27" w:rsidP="00F92A59">
            <w:pPr>
              <w:spacing w:after="0" w:line="240" w:lineRule="auto"/>
              <w:jc w:val="center"/>
              <w:rPr>
                <w:rFonts w:ascii="Times New Roman" w:hAnsi="Times New Roman" w:cs="Times New Roman"/>
                <w:i/>
                <w:sz w:val="26"/>
                <w:szCs w:val="26"/>
              </w:rPr>
            </w:pPr>
            <w:r w:rsidRPr="00B4729D">
              <w:rPr>
                <w:rFonts w:ascii="Times New Roman" w:hAnsi="Times New Roman" w:cs="Times New Roman"/>
                <w:i/>
                <w:sz w:val="26"/>
                <w:szCs w:val="26"/>
              </w:rPr>
              <w:t xml:space="preserve">(Kèm theo Tờ trình số     ngày </w:t>
            </w:r>
            <w:r w:rsidR="00E85C0D">
              <w:rPr>
                <w:rFonts w:ascii="Times New Roman" w:hAnsi="Times New Roman" w:cs="Times New Roman"/>
                <w:i/>
                <w:sz w:val="26"/>
                <w:szCs w:val="26"/>
              </w:rPr>
              <w:t xml:space="preserve">  </w:t>
            </w:r>
            <w:r w:rsidRPr="00B4729D">
              <w:rPr>
                <w:rFonts w:ascii="Times New Roman" w:hAnsi="Times New Roman" w:cs="Times New Roman"/>
                <w:i/>
                <w:sz w:val="26"/>
                <w:szCs w:val="26"/>
              </w:rPr>
              <w:t xml:space="preserve"> tháng </w:t>
            </w:r>
            <w:r w:rsidR="00E85C0D">
              <w:rPr>
                <w:rFonts w:ascii="Times New Roman" w:hAnsi="Times New Roman" w:cs="Times New Roman"/>
                <w:i/>
                <w:sz w:val="26"/>
                <w:szCs w:val="26"/>
              </w:rPr>
              <w:t xml:space="preserve"> </w:t>
            </w:r>
            <w:r w:rsidR="006C5BDF">
              <w:rPr>
                <w:rFonts w:ascii="Times New Roman" w:hAnsi="Times New Roman" w:cs="Times New Roman"/>
                <w:i/>
                <w:sz w:val="26"/>
                <w:szCs w:val="26"/>
              </w:rPr>
              <w:t xml:space="preserve">10 </w:t>
            </w:r>
            <w:r w:rsidR="00E85C0D">
              <w:rPr>
                <w:rFonts w:ascii="Times New Roman" w:hAnsi="Times New Roman" w:cs="Times New Roman"/>
                <w:i/>
                <w:sz w:val="26"/>
                <w:szCs w:val="26"/>
              </w:rPr>
              <w:t xml:space="preserve"> </w:t>
            </w:r>
            <w:r w:rsidRPr="00B4729D">
              <w:rPr>
                <w:rFonts w:ascii="Times New Roman" w:hAnsi="Times New Roman" w:cs="Times New Roman"/>
                <w:i/>
                <w:sz w:val="26"/>
                <w:szCs w:val="26"/>
              </w:rPr>
              <w:t>năm 2022 của Sở Kế hoạch và Đầu tư)</w:t>
            </w:r>
          </w:p>
          <w:p w:rsidR="00C16C27" w:rsidRPr="00E867D1" w:rsidRDefault="00536243" w:rsidP="002012E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59264" behindDoc="0" locked="0" layoutInCell="1" allowOverlap="1">
                      <wp:simplePos x="0" y="0"/>
                      <wp:positionH relativeFrom="column">
                        <wp:posOffset>2729865</wp:posOffset>
                      </wp:positionH>
                      <wp:positionV relativeFrom="paragraph">
                        <wp:posOffset>43180</wp:posOffset>
                      </wp:positionV>
                      <wp:extent cx="331470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3314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xmlns:w15="http://schemas.microsoft.com/office/word/2012/wordml">
                  <w:pict>
                    <v:line w14:anchorId="449740F0"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14.95pt,3.4pt" to="475.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" strokecolor="black [3200]" strokeweight=".5pt">
                      <v:stroke joinstyle="miter"/>
                    </v:line>
                  </w:pict>
                </mc:Fallback>
              </mc:AlternateContent>
            </w:r>
          </w:p>
        </w:tc>
      </w:tr>
      <w:tr w:rsidR="00C16C27" w:rsidRPr="00E867D1" w:rsidTr="00C16C27">
        <w:trPr>
          <w:cantSplit/>
          <w:trHeight w:val="630"/>
          <w:tblHeader/>
        </w:trPr>
        <w:tc>
          <w:tcPr>
            <w:tcW w:w="5000" w:type="pct"/>
            <w:gridSpan w:val="5"/>
            <w:tcBorders>
              <w:top w:val="nil"/>
              <w:left w:val="nil"/>
              <w:right w:val="nil"/>
            </w:tcBorders>
            <w:shd w:val="clear" w:color="auto" w:fill="auto"/>
            <w:noWrap/>
            <w:vAlign w:val="center"/>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p>
        </w:tc>
      </w:tr>
      <w:tr w:rsidR="00C16C27" w:rsidRPr="00E867D1" w:rsidTr="002012EB">
        <w:trPr>
          <w:cantSplit/>
          <w:trHeight w:val="63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Stt</w:t>
            </w:r>
          </w:p>
        </w:tc>
        <w:tc>
          <w:tcPr>
            <w:tcW w:w="700"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Đơn vị cho ý kiến</w:t>
            </w:r>
          </w:p>
        </w:tc>
        <w:tc>
          <w:tcPr>
            <w:tcW w:w="1867"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Nội dung ý kiến</w:t>
            </w:r>
          </w:p>
        </w:tc>
        <w:tc>
          <w:tcPr>
            <w:tcW w:w="1304"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 xml:space="preserve">Nội dung giải trình của Sở Kế hoạch và Đầu tư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Ghi chú</w:t>
            </w:r>
          </w:p>
        </w:tc>
      </w:tr>
      <w:tr w:rsidR="00C16C27" w:rsidRPr="00E867D1" w:rsidTr="002012EB">
        <w:trPr>
          <w:cantSplit/>
          <w:trHeight w:val="504"/>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I</w:t>
            </w:r>
          </w:p>
        </w:tc>
        <w:tc>
          <w:tcPr>
            <w:tcW w:w="3871" w:type="pct"/>
            <w:gridSpan w:val="3"/>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Lấy ý kiến các đơn vị lần 1 (Công văn số 1331/SKHĐT-QLN ngày 13/6/2022)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 </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Ủy ban Mặt trận Tổ quốc Việt Nam tỉnh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soạn thảo.</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951/MTTQ-BTT ngày 09/6/2022)</w:t>
            </w:r>
          </w:p>
        </w:tc>
      </w:tr>
      <w:tr w:rsidR="00C16C27" w:rsidRPr="00E867D1" w:rsidTr="002012EB">
        <w:trPr>
          <w:cantSplit/>
          <w:trHeight w:val="102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2</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Ban quản lý các khu công nghiệp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soạn thảo.</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392/BQLKCN-NVTH ngày 10/6/2022</w:t>
            </w:r>
          </w:p>
        </w:tc>
      </w:tr>
      <w:tr w:rsidR="00C16C27" w:rsidRPr="00E867D1" w:rsidTr="002012EB">
        <w:trPr>
          <w:cantSplit/>
          <w:trHeight w:val="126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3</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Sở Lao động -</w:t>
            </w:r>
            <w:r w:rsidRPr="00E867D1">
              <w:rPr>
                <w:rFonts w:ascii="Times New Roman" w:eastAsia="Times New Roman" w:hAnsi="Times New Roman" w:cs="Times New Roman"/>
                <w:color w:val="000000"/>
                <w:sz w:val="24"/>
                <w:szCs w:val="24"/>
              </w:rPr>
              <w:t xml:space="preserve">Thương binh </w:t>
            </w:r>
            <w:r>
              <w:rPr>
                <w:rFonts w:ascii="Times New Roman" w:eastAsia="Times New Roman" w:hAnsi="Times New Roman" w:cs="Times New Roman"/>
                <w:color w:val="000000"/>
                <w:sz w:val="24"/>
                <w:szCs w:val="24"/>
              </w:rPr>
              <w:t>và</w:t>
            </w:r>
            <w:r w:rsidRPr="00E867D1">
              <w:rPr>
                <w:rFonts w:ascii="Times New Roman" w:eastAsia="Times New Roman" w:hAnsi="Times New Roman" w:cs="Times New Roman"/>
                <w:color w:val="000000"/>
                <w:sz w:val="24"/>
                <w:szCs w:val="24"/>
              </w:rPr>
              <w:t xml:space="preserve"> Xã hội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soạn thảo và hình thức trình bày văn bản.</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1318/SLĐTBXH-BTXH&amp;PCTN, ngày 10/6/2022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4</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Giao thông Vận tải</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xây dựng.</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725/SGTVT-KHTC ngày 13/6/2022</w:t>
            </w:r>
          </w:p>
        </w:tc>
      </w:tr>
      <w:tr w:rsidR="00C16C27" w:rsidRPr="00E867D1" w:rsidTr="002012EB">
        <w:trPr>
          <w:cantSplit/>
          <w:trHeight w:val="110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5</w:t>
            </w:r>
          </w:p>
        </w:tc>
        <w:tc>
          <w:tcPr>
            <w:tcW w:w="700" w:type="pct"/>
            <w:shd w:val="clear" w:color="auto" w:fill="auto"/>
            <w:vAlign w:val="center"/>
            <w:hideMark/>
          </w:tcPr>
          <w:p w:rsidR="00C16C27" w:rsidRPr="00344051" w:rsidRDefault="00C16C27" w:rsidP="002012EB">
            <w:pPr>
              <w:spacing w:after="0" w:line="240" w:lineRule="auto"/>
              <w:jc w:val="both"/>
              <w:rPr>
                <w:rFonts w:ascii="Times New Roman" w:eastAsia="Times New Roman" w:hAnsi="Times New Roman" w:cs="Times New Roman"/>
                <w:color w:val="000000"/>
                <w:sz w:val="24"/>
                <w:szCs w:val="24"/>
              </w:rPr>
            </w:pPr>
            <w:r w:rsidRPr="00344051">
              <w:rPr>
                <w:rFonts w:ascii="Times New Roman" w:eastAsia="Times New Roman" w:hAnsi="Times New Roman" w:cs="Times New Roman"/>
                <w:color w:val="000000"/>
                <w:sz w:val="24"/>
                <w:szCs w:val="24"/>
              </w:rPr>
              <w:t xml:space="preserve">Sở Tài nguyên và môi trường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soạn thảo.</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văn số 1333/STNMT-CCBVMT ngày 13/6/2022</w:t>
            </w:r>
          </w:p>
        </w:tc>
      </w:tr>
      <w:tr w:rsidR="00C16C27" w:rsidRPr="00E867D1" w:rsidTr="002012EB">
        <w:trPr>
          <w:cantSplit/>
          <w:trHeight w:val="962"/>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6</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Sở Văn hóa Thể thao và Du lịch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soạn thảo.</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795/SVHTTDL-KHTC ngày 13/6/2022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7</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Sở Khoa học và Công nghệ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nội dung như dự thảo do Sở Kế hoạch và Đầu tư soạn thảo.</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541/SKHCN-VP ngày 13/6/2022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lastRenderedPageBreak/>
              <w:t>8</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UBND huyện Krông Nô</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 Nghị quyết.</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1169/UBND-TCKH ngày 16/6/2022</w:t>
            </w:r>
          </w:p>
        </w:tc>
      </w:tr>
      <w:tr w:rsidR="00C16C27" w:rsidRPr="00E867D1" w:rsidTr="002012EB">
        <w:trPr>
          <w:cantSplit/>
          <w:trHeight w:val="85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9</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Bộ chỉ huy quân sự tỉnh Đắk Nông</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 Nghị quyết.</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1062/BCH-HC ngày 13/6/2022</w:t>
            </w:r>
          </w:p>
        </w:tc>
      </w:tr>
      <w:tr w:rsidR="00C16C27" w:rsidRPr="00E867D1" w:rsidTr="002012EB">
        <w:trPr>
          <w:cantSplit/>
          <w:trHeight w:val="82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10</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UBND huyện Đăk R'lấp</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 Nghị quyết.</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724/UBND-TC ngày 17/6/2022</w:t>
            </w:r>
          </w:p>
        </w:tc>
      </w:tr>
      <w:tr w:rsidR="00C16C27" w:rsidRPr="00E867D1" w:rsidTr="002012EB">
        <w:trPr>
          <w:cantSplit/>
          <w:trHeight w:val="1884"/>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11</w:t>
            </w:r>
          </w:p>
        </w:tc>
        <w:tc>
          <w:tcPr>
            <w:tcW w:w="700" w:type="pct"/>
            <w:shd w:val="clear" w:color="auto" w:fill="auto"/>
            <w:vAlign w:val="center"/>
            <w:hideMark/>
          </w:tcPr>
          <w:p w:rsidR="00C16C27" w:rsidRPr="00344051" w:rsidRDefault="00C16C27" w:rsidP="002012EB">
            <w:pPr>
              <w:spacing w:after="0" w:line="240" w:lineRule="auto"/>
              <w:jc w:val="both"/>
              <w:rPr>
                <w:rFonts w:ascii="Times New Roman" w:eastAsia="Times New Roman" w:hAnsi="Times New Roman" w:cs="Times New Roman"/>
                <w:color w:val="000000"/>
                <w:sz w:val="24"/>
                <w:szCs w:val="24"/>
              </w:rPr>
            </w:pPr>
            <w:r w:rsidRPr="00344051">
              <w:rPr>
                <w:rFonts w:ascii="Times New Roman" w:eastAsia="Times New Roman" w:hAnsi="Times New Roman" w:cs="Times New Roman"/>
                <w:color w:val="000000"/>
                <w:sz w:val="24"/>
                <w:szCs w:val="24"/>
              </w:rPr>
              <w:t xml:space="preserve">Sở Giáo dục và Đào tạo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Sau khi nghiên cứu dự thảo, Sở Giáo dục và Đào tạo cơ bản thống nhất các nội dung trong dự thảo Nghị quyết. Về nội dung đề xuất tỷ lệ số lượng dự án đầu tư thực hiện theo cơ chế đặc thù thuộc công trình trường mầm non, tiểu học, trung học cơ sở: 20%.</w:t>
            </w:r>
          </w:p>
        </w:tc>
        <w:tc>
          <w:tcPr>
            <w:tcW w:w="1304" w:type="pct"/>
            <w:shd w:val="clear" w:color="auto" w:fill="auto"/>
            <w:vAlign w:val="center"/>
            <w:hideMark/>
          </w:tcPr>
          <w:p w:rsidR="00C16C27" w:rsidRPr="00E867D1" w:rsidRDefault="00C16C27" w:rsidP="00F16CF7">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Sở Kế hoạch và Đầu tư </w:t>
            </w:r>
            <w:r w:rsidR="00F16CF7">
              <w:rPr>
                <w:rFonts w:ascii="Times New Roman" w:eastAsia="Times New Roman" w:hAnsi="Times New Roman" w:cs="Times New Roman"/>
                <w:sz w:val="24"/>
                <w:szCs w:val="24"/>
              </w:rPr>
              <w:t>tiếp thu ý kiến</w:t>
            </w:r>
            <w:r w:rsidRPr="00E867D1">
              <w:rPr>
                <w:rFonts w:ascii="Times New Roman" w:eastAsia="Times New Roman" w:hAnsi="Times New Roman" w:cs="Times New Roman"/>
                <w:sz w:val="24"/>
                <w:szCs w:val="24"/>
              </w:rPr>
              <w:t xml:space="preserve"> của đơn vị</w:t>
            </w:r>
            <w:r w:rsidR="00F16CF7">
              <w:rPr>
                <w:rFonts w:ascii="Times New Roman" w:eastAsia="Times New Roman" w:hAnsi="Times New Roman" w:cs="Times New Roman"/>
                <w:sz w:val="24"/>
                <w:szCs w:val="24"/>
              </w:rPr>
              <w:t>.</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văn số 208/SGDĐT-TCCBTC ngày 10/6/2022</w:t>
            </w:r>
          </w:p>
        </w:tc>
      </w:tr>
      <w:tr w:rsidR="00C16C27" w:rsidRPr="00E867D1" w:rsidTr="002012EB">
        <w:trPr>
          <w:cantSplit/>
          <w:trHeight w:val="699"/>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12</w:t>
            </w:r>
          </w:p>
        </w:tc>
        <w:tc>
          <w:tcPr>
            <w:tcW w:w="700" w:type="pct"/>
            <w:shd w:val="clear" w:color="auto" w:fill="auto"/>
            <w:vAlign w:val="center"/>
            <w:hideMark/>
          </w:tcPr>
          <w:p w:rsidR="00C16C27" w:rsidRPr="00344051" w:rsidRDefault="00C16C27" w:rsidP="002012EB">
            <w:pPr>
              <w:spacing w:after="0" w:line="240" w:lineRule="auto"/>
              <w:jc w:val="both"/>
              <w:rPr>
                <w:rFonts w:ascii="Times New Roman" w:eastAsia="Times New Roman" w:hAnsi="Times New Roman" w:cs="Times New Roman"/>
                <w:color w:val="000000"/>
                <w:sz w:val="24"/>
                <w:szCs w:val="24"/>
              </w:rPr>
            </w:pPr>
            <w:r w:rsidRPr="00344051">
              <w:rPr>
                <w:rFonts w:ascii="Times New Roman" w:eastAsia="Times New Roman" w:hAnsi="Times New Roman" w:cs="Times New Roman"/>
                <w:color w:val="000000"/>
                <w:sz w:val="24"/>
                <w:szCs w:val="24"/>
              </w:rPr>
              <w:t>Sở Công thương</w:t>
            </w:r>
          </w:p>
        </w:tc>
        <w:tc>
          <w:tcPr>
            <w:tcW w:w="1867" w:type="pct"/>
            <w:shd w:val="clear" w:color="auto" w:fill="auto"/>
            <w:vAlign w:val="center"/>
            <w:hideMark/>
          </w:tcPr>
          <w:p w:rsidR="00C16C27" w:rsidRPr="007060A0"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Qua nghiên cứu, Sở Công Thương cơ bản thống nhất các nội dung theo Dự thảo; tuy nhiên, đề nghị cơ quan soạn thảo một số nội dung sau:</w:t>
            </w:r>
            <w:r w:rsidRPr="00E867D1">
              <w:rPr>
                <w:rFonts w:ascii="Times New Roman" w:eastAsia="Times New Roman" w:hAnsi="Times New Roman" w:cs="Times New Roman"/>
                <w:sz w:val="24"/>
                <w:szCs w:val="24"/>
              </w:rPr>
              <w:br/>
              <w:t>1. Điều chỉnh, bổ sung nội dung tại Điểm a, Khoản 1, Điều 4 “cải tạo, mở rộng, nâng cấp hệ thống lưới điện nông thôn” thành “xây dựng mới, cải tạo, mở rộng, nâng cấp hệ thống lưới điện nông thôn”.</w:t>
            </w:r>
            <w:r w:rsidRPr="00E867D1">
              <w:rPr>
                <w:rFonts w:ascii="Times New Roman" w:eastAsia="Times New Roman" w:hAnsi="Times New Roman" w:cs="Times New Roman"/>
                <w:sz w:val="24"/>
                <w:szCs w:val="24"/>
              </w:rPr>
              <w:br/>
              <w:t>2. Bổ sung công trình cấp điện nông thôn vào Danh mục dự án đầu tư thực hiện theo cơ chế đặc thù tại Điều 5 Nghị quyết.</w:t>
            </w:r>
          </w:p>
        </w:tc>
        <w:tc>
          <w:tcPr>
            <w:tcW w:w="1304" w:type="pct"/>
            <w:shd w:val="clear" w:color="auto" w:fill="auto"/>
            <w:vAlign w:val="center"/>
            <w:hideMark/>
          </w:tcPr>
          <w:p w:rsidR="00C16C27" w:rsidRPr="00E867D1" w:rsidRDefault="008C5B2D" w:rsidP="00916DD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Sở Kế hoạch và Đầu tư tiếp thu, </w:t>
            </w:r>
            <w:r w:rsidRPr="00E867D1">
              <w:rPr>
                <w:rFonts w:ascii="Times New Roman" w:eastAsia="Times New Roman" w:hAnsi="Times New Roman" w:cs="Times New Roman"/>
                <w:sz w:val="24"/>
                <w:szCs w:val="24"/>
              </w:rPr>
              <w:t xml:space="preserve">ý kiến </w:t>
            </w:r>
            <w:r w:rsidR="00916DD8">
              <w:rPr>
                <w:rFonts w:ascii="Times New Roman" w:eastAsia="Times New Roman" w:hAnsi="Times New Roman" w:cs="Times New Roman"/>
                <w:sz w:val="24"/>
                <w:szCs w:val="24"/>
              </w:rPr>
              <w:t>của đơn vị; tuy nhiên, t</w:t>
            </w:r>
            <w:r w:rsidR="00916DD8" w:rsidRPr="00916DD8">
              <w:rPr>
                <w:rFonts w:ascii="Times New Roman" w:eastAsia="Times New Roman" w:hAnsi="Times New Roman" w:cs="Times New Roman"/>
                <w:sz w:val="24"/>
                <w:szCs w:val="24"/>
              </w:rPr>
              <w:t xml:space="preserve">heo Nghị định </w:t>
            </w:r>
            <w:r w:rsidR="00916DD8">
              <w:rPr>
                <w:rFonts w:ascii="Times New Roman" w:eastAsia="Times New Roman" w:hAnsi="Times New Roman" w:cs="Times New Roman"/>
                <w:sz w:val="24"/>
                <w:szCs w:val="24"/>
              </w:rPr>
              <w:t xml:space="preserve">số </w:t>
            </w:r>
            <w:r w:rsidR="00916DD8" w:rsidRPr="00916DD8">
              <w:rPr>
                <w:rFonts w:ascii="Times New Roman" w:eastAsia="Times New Roman" w:hAnsi="Times New Roman" w:cs="Times New Roman"/>
                <w:sz w:val="24"/>
                <w:szCs w:val="24"/>
              </w:rPr>
              <w:t>27</w:t>
            </w:r>
            <w:r w:rsidR="00916DD8">
              <w:rPr>
                <w:rFonts w:ascii="Times New Roman" w:eastAsia="Times New Roman" w:hAnsi="Times New Roman" w:cs="Times New Roman"/>
                <w:sz w:val="24"/>
                <w:szCs w:val="24"/>
              </w:rPr>
              <w:t>/2022/NĐ-CP ngày 19/4/2022</w:t>
            </w:r>
            <w:r w:rsidR="00916DD8" w:rsidRPr="00916DD8">
              <w:rPr>
                <w:rFonts w:ascii="Times New Roman" w:eastAsia="Times New Roman" w:hAnsi="Times New Roman" w:cs="Times New Roman"/>
                <w:sz w:val="24"/>
                <w:szCs w:val="24"/>
              </w:rPr>
              <w:t>, các dự án đầu tư xây dựng thuộc lĩnh vực cấp điện, đầu tư lưới điện phân phối không áp dụng cơ chế đặc thù.</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văn số 745/SCT-QLNL ngày 14/6/2022</w:t>
            </w:r>
          </w:p>
        </w:tc>
      </w:tr>
      <w:tr w:rsidR="00C16C27" w:rsidRPr="00E867D1" w:rsidTr="002012EB">
        <w:trPr>
          <w:cantSplit/>
          <w:trHeight w:val="475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lastRenderedPageBreak/>
              <w:t>13</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UBND thành phố Gia Nghĩa</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Sau khi nghiên cứu,</w:t>
            </w:r>
            <w:r>
              <w:rPr>
                <w:rFonts w:ascii="Times New Roman" w:eastAsia="Times New Roman" w:hAnsi="Times New Roman" w:cs="Times New Roman"/>
                <w:sz w:val="24"/>
                <w:szCs w:val="24"/>
              </w:rPr>
              <w:t xml:space="preserve"> </w:t>
            </w:r>
            <w:r w:rsidRPr="00E867D1">
              <w:rPr>
                <w:rFonts w:ascii="Times New Roman" w:eastAsia="Times New Roman" w:hAnsi="Times New Roman" w:cs="Times New Roman"/>
                <w:sz w:val="24"/>
                <w:szCs w:val="24"/>
              </w:rPr>
              <w:t>UBND</w:t>
            </w:r>
            <w:r>
              <w:rPr>
                <w:rFonts w:ascii="Times New Roman" w:eastAsia="Times New Roman" w:hAnsi="Times New Roman" w:cs="Times New Roman"/>
                <w:sz w:val="24"/>
                <w:szCs w:val="24"/>
              </w:rPr>
              <w:t xml:space="preserve"> </w:t>
            </w:r>
            <w:r w:rsidRPr="00E867D1">
              <w:rPr>
                <w:rFonts w:ascii="Times New Roman" w:eastAsia="Times New Roman" w:hAnsi="Times New Roman" w:cs="Times New Roman"/>
                <w:sz w:val="24"/>
                <w:szCs w:val="24"/>
              </w:rPr>
              <w:t>thành phố Gia Nghĩa thống nhất theo nội dung dự thảo. Trong thời gian UBND tỉnh trình HĐND tỉnh ban hành Nghị quyết nêu trên, UBND thành phố kính đề nghị Sở Kế hoạch và Đầu tư tỉnh và các Sở, ngành, cơ quan chuyên môn của tỉnh sớm nghiên cứu tham mưu xây dựng và ban hành các định mức kinh tế kỹ thuật; định mức hỗ trợ; nội dung hỗ trợ; quy trình lập kế hoạch lồng ghép; quy trình, thủ tục lập hồ sơ, thẩm định, phê duyệt, phân bổ vốn, thanh toán, quyết toán các nguồn vốn được lồng ghép theo các nội dung quy định tại dự thảo Nghị quyết của HĐND tỉnh nêu trên để các cơ quan, địa phương, đặc biệt là các chủ đầu tư có cơ sở triển khai thực hiện ngay sau khi nguồn vốn của các Chương trình được cấp có thẩm quyền phân bổ trong năm 2022 (nếu có).</w:t>
            </w:r>
          </w:p>
        </w:tc>
        <w:tc>
          <w:tcPr>
            <w:tcW w:w="1304" w:type="pct"/>
            <w:shd w:val="clear" w:color="auto" w:fill="auto"/>
            <w:vAlign w:val="center"/>
            <w:hideMark/>
          </w:tcPr>
          <w:p w:rsidR="00C16C27" w:rsidRPr="00E867D1" w:rsidRDefault="00C16C27" w:rsidP="00B625A5">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Nội dung này đã được Sở Kế hoạch và Đầu tư đề xuất UBND trong chương trình công tác năm 2022 của Ban Chỉ đạo các chương trình MTQG giai đoạn 2021-2025.</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561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lastRenderedPageBreak/>
              <w:t>14</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 UBND huyện Tuy Đức</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Sau khi nghiên cứu dự thảo Nghị quyết, UBND huyện Tuy Đức góp ý như sau: </w:t>
            </w:r>
            <w:r w:rsidRPr="00E867D1">
              <w:rPr>
                <w:rFonts w:ascii="Times New Roman" w:eastAsia="Times New Roman" w:hAnsi="Times New Roman" w:cs="Times New Roman"/>
                <w:sz w:val="24"/>
                <w:szCs w:val="24"/>
              </w:rPr>
              <w:br/>
              <w:t>1. Đề nghị thay đổi nội dung tại Điểm c, Khoản 2, Điều 6 thành “Bước xây dựng kế hoạch phát triển kinh tế - xã hội, lập kế hoạch đầu tư cấp huyện: Trên cơ sở đề xuất của UBND các xã, UBND huyện giao cho các phòng tương ứng với cơ quan chủ các chương trình mục tiêu quốc gia: phòng Nông nghiệp &amp; PTNT (đối với CTMTQG xây dựng Nông thôn mới), phòng Dân tộc (đối với CTMTQG phát triển kinh tế - xã hội vùng đồng bào dân tộc thiểu số và miền núi), phòng Lao động –TB&amp;XH (đối với CTMTQG giảm nghèo bền vững) phối hợp với các phòng, ban, đơn vị liên quan rà soát, xác định rõ cơ cấu nguồn vốn lồng ghép trong kế hoạch thực hiện các chương trình mục tiêu quốc gia gửi các cơ quan chủ các chương trình có liên quan,</w:t>
            </w:r>
            <w:r w:rsidR="00670314">
              <w:rPr>
                <w:rFonts w:ascii="Times New Roman" w:eastAsia="Times New Roman" w:hAnsi="Times New Roman" w:cs="Times New Roman"/>
                <w:sz w:val="24"/>
                <w:szCs w:val="24"/>
              </w:rPr>
              <w:t xml:space="preserve"> đồng thời gửi phòng Tài chính -</w:t>
            </w:r>
            <w:r w:rsidRPr="00E867D1">
              <w:rPr>
                <w:rFonts w:ascii="Times New Roman" w:eastAsia="Times New Roman" w:hAnsi="Times New Roman" w:cs="Times New Roman"/>
                <w:sz w:val="24"/>
                <w:szCs w:val="24"/>
              </w:rPr>
              <w:t xml:space="preserve"> </w:t>
            </w:r>
            <w:r w:rsidR="00670314">
              <w:rPr>
                <w:rFonts w:ascii="Times New Roman" w:eastAsia="Times New Roman" w:hAnsi="Times New Roman" w:cs="Times New Roman"/>
                <w:sz w:val="24"/>
                <w:szCs w:val="24"/>
              </w:rPr>
              <w:t xml:space="preserve">Kế hoạch tổng hợp, báo cáo UBND </w:t>
            </w:r>
            <w:r w:rsidRPr="00E867D1">
              <w:rPr>
                <w:rFonts w:ascii="Times New Roman" w:eastAsia="Times New Roman" w:hAnsi="Times New Roman" w:cs="Times New Roman"/>
                <w:sz w:val="24"/>
                <w:szCs w:val="24"/>
              </w:rPr>
              <w:t>huyện”.</w:t>
            </w:r>
            <w:r w:rsidRPr="00E867D1">
              <w:rPr>
                <w:rFonts w:ascii="Times New Roman" w:eastAsia="Times New Roman" w:hAnsi="Times New Roman" w:cs="Times New Roman"/>
                <w:sz w:val="24"/>
                <w:szCs w:val="24"/>
              </w:rPr>
              <w:br/>
              <w:t>2. Các nội dung khác thống nhất theo dự thảo Nghị quyết.</w:t>
            </w:r>
          </w:p>
        </w:tc>
        <w:tc>
          <w:tcPr>
            <w:tcW w:w="1304" w:type="pct"/>
            <w:shd w:val="clear" w:color="auto" w:fill="auto"/>
            <w:vAlign w:val="center"/>
            <w:hideMark/>
          </w:tcPr>
          <w:p w:rsidR="00C16C27" w:rsidRPr="00E867D1" w:rsidRDefault="008C5B2D" w:rsidP="008C5B2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Sở Kế hoạch và Đầu tư tiếp thu, điều </w:t>
            </w:r>
            <w:r w:rsidR="00C16C27" w:rsidRPr="00E867D1">
              <w:rPr>
                <w:rFonts w:ascii="Times New Roman" w:eastAsia="Times New Roman" w:hAnsi="Times New Roman" w:cs="Times New Roman"/>
                <w:sz w:val="24"/>
                <w:szCs w:val="24"/>
              </w:rPr>
              <w:t xml:space="preserve">chỉnh theo ý kiến </w:t>
            </w:r>
            <w:r w:rsidR="00C16C27">
              <w:rPr>
                <w:rFonts w:ascii="Times New Roman" w:eastAsia="Times New Roman" w:hAnsi="Times New Roman" w:cs="Times New Roman"/>
                <w:sz w:val="24"/>
                <w:szCs w:val="24"/>
              </w:rPr>
              <w:t>của đơn vị.</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văn số 1065/UBND-TCKH ngày 15/6/2022</w:t>
            </w:r>
          </w:p>
        </w:tc>
      </w:tr>
      <w:tr w:rsidR="00C16C27" w:rsidRPr="00E867D1" w:rsidTr="002012EB">
        <w:trPr>
          <w:cantSplit/>
          <w:trHeight w:val="1125"/>
          <w:tblHeader/>
        </w:trPr>
        <w:tc>
          <w:tcPr>
            <w:tcW w:w="188" w:type="pct"/>
            <w:vMerge w:val="restar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15</w:t>
            </w:r>
          </w:p>
        </w:tc>
        <w:tc>
          <w:tcPr>
            <w:tcW w:w="700" w:type="pct"/>
            <w:vMerge w:val="restar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UBND huyện Đăk Glong</w:t>
            </w:r>
          </w:p>
        </w:tc>
        <w:tc>
          <w:tcPr>
            <w:tcW w:w="1867" w:type="pct"/>
            <w:shd w:val="clear" w:color="auto" w:fill="auto"/>
            <w:noWrap/>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Sau khi nghiên cứu, UBND huyện Đắk Glong cơ bản thống nhất dự thảo Nghị quyết. Tuy nhiên đề nghị điều chỉnh một số nội dung cụ thể như sau:</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văn số 1919/UBND-TCKH ngày 13/6/2022</w:t>
            </w:r>
          </w:p>
        </w:tc>
      </w:tr>
      <w:tr w:rsidR="00C16C27" w:rsidRPr="00E867D1" w:rsidTr="002012EB">
        <w:trPr>
          <w:cantSplit/>
          <w:trHeight w:val="3570"/>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noWrap/>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1. Kiến nghị bỏ Mục c, Khoản 1, Điều 4 của dự thảo Nghị quyết </w:t>
            </w:r>
            <w:r w:rsidRPr="00E867D1">
              <w:rPr>
                <w:rFonts w:ascii="Times New Roman" w:eastAsia="Times New Roman" w:hAnsi="Times New Roman" w:cs="Times New Roman"/>
                <w:i/>
                <w:iCs/>
                <w:sz w:val="24"/>
                <w:szCs w:val="24"/>
              </w:rPr>
              <w:t>“Đối với các dự án đầu tư xây dựng theo cơ chế đặc thù, ngân sách Nhà nước hỗ trợ một phần vốn, phần còn lại do người dân đóng góp và từ nguồn vốn hợp pháp khác tại địa phương để thực hiện dự án đầu tư xây dựng”,</w:t>
            </w:r>
            <w:r w:rsidRPr="00E867D1">
              <w:rPr>
                <w:rFonts w:ascii="Times New Roman" w:eastAsia="Times New Roman" w:hAnsi="Times New Roman" w:cs="Times New Roman"/>
                <w:sz w:val="24"/>
                <w:szCs w:val="24"/>
              </w:rPr>
              <w:t xml:space="preserve">vì đối với các dự án trên địa bàn xã đặc biệt khó khăn đã được quy định tại Mục b, Khoản 1, Điều 4 của dự thảo Nghị quyết </w:t>
            </w:r>
            <w:r w:rsidRPr="00E867D1">
              <w:rPr>
                <w:rFonts w:ascii="Times New Roman" w:eastAsia="Times New Roman" w:hAnsi="Times New Roman" w:cs="Times New Roman"/>
                <w:i/>
                <w:iCs/>
                <w:sz w:val="24"/>
                <w:szCs w:val="24"/>
              </w:rPr>
              <w:t>“Đối với dự án thực hiện trên địa bàn xã, thôn đặc biệt khó khăn, ngân sách nhà nước hỗ trợ tối đa 100% cho các dự án thực hiện các nội dung phát triển cơ sở hạ tầng”</w:t>
            </w:r>
            <w:r w:rsidRPr="00E867D1">
              <w:rPr>
                <w:rFonts w:ascii="Times New Roman" w:eastAsia="Times New Roman" w:hAnsi="Times New Roman" w:cs="Times New Roman"/>
                <w:sz w:val="24"/>
                <w:szCs w:val="24"/>
              </w:rPr>
              <w:t>. Không quy định các dự án thực hiện theo cơ chế đặc thù phải huy động đóng góp, vì cơ chế đặc thù là quy định quy trình thực hiện, còn các dự án trên xã đặc biệt khó khăn thì ngân sách Nhà nước hỗ trợ 100%.</w:t>
            </w:r>
          </w:p>
        </w:tc>
        <w:tc>
          <w:tcPr>
            <w:tcW w:w="1304" w:type="pct"/>
            <w:shd w:val="clear" w:color="auto" w:fill="auto"/>
            <w:vAlign w:val="center"/>
            <w:hideMark/>
          </w:tcPr>
          <w:p w:rsidR="00C16C27" w:rsidRPr="00E867D1" w:rsidRDefault="00C16C27" w:rsidP="00670314">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Sở Kế hoạch và Đầu tư tiếp thu ý kiến </w:t>
            </w:r>
            <w:r>
              <w:rPr>
                <w:rFonts w:ascii="Times New Roman" w:eastAsia="Times New Roman" w:hAnsi="Times New Roman" w:cs="Times New Roman"/>
                <w:sz w:val="24"/>
                <w:szCs w:val="24"/>
              </w:rPr>
              <w:t xml:space="preserve">góp ý </w:t>
            </w:r>
            <w:r w:rsidRPr="00E867D1">
              <w:rPr>
                <w:rFonts w:ascii="Times New Roman" w:eastAsia="Times New Roman" w:hAnsi="Times New Roman" w:cs="Times New Roman"/>
                <w:sz w:val="24"/>
                <w:szCs w:val="24"/>
              </w:rPr>
              <w:t>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2610"/>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noWrap/>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2. Đối với tiêu chí lựa chọn dự án theo cơ chế đặc thù thống nhất theo quy định theo Điều 14 Nghị định số 27/2022/NĐ-CP ngày 19/4/2022 của Chính phủ, tuy nhiên trong kế hoạch 6 tháng cuối năm 2022 nếu các Bộ, ngành và UBND tỉnh chưa ban hành kịp thời các văn bản hướng dẫn, trước mắt cho phép thực hiện theo cơ chế thông thường của Luật Đầu tư công, Luật Xây dựng, Luật Đấu thầu và các văn bản hướng dẫn hiện hành. </w:t>
            </w:r>
          </w:p>
        </w:tc>
        <w:tc>
          <w:tcPr>
            <w:tcW w:w="1304" w:type="pct"/>
            <w:shd w:val="clear" w:color="auto" w:fill="auto"/>
            <w:vAlign w:val="center"/>
            <w:hideMark/>
          </w:tcPr>
          <w:p w:rsidR="00C16C27" w:rsidRPr="00E867D1" w:rsidRDefault="00C16C27" w:rsidP="00B625A5">
            <w:pPr>
              <w:spacing w:after="0" w:line="240" w:lineRule="auto"/>
              <w:jc w:val="both"/>
              <w:rPr>
                <w:rFonts w:ascii="Times New Roman" w:eastAsia="Times New Roman" w:hAnsi="Times New Roman" w:cs="Times New Roman"/>
                <w:sz w:val="24"/>
                <w:szCs w:val="24"/>
              </w:rPr>
            </w:pP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4545"/>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noWrap/>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3. Tại Mục c, Khoản 1, Điều 6, đề nghị sửa đổi, điều chỉnh thành “Bước xây dựng kế hoạch triển kinh tế - xã hội, lập kế hoạch đầu tư cấp huyện: Trên cơ sở đề xuất của UBND các xã và các đơn vị, UBND huyện giao cho 03 phòng quản lý, thực hiện 03 Chương trình MTQG tương ứng </w:t>
            </w:r>
            <w:r w:rsidRPr="00E867D1">
              <w:rPr>
                <w:rFonts w:ascii="Times New Roman" w:eastAsia="Times New Roman" w:hAnsi="Times New Roman" w:cs="Times New Roman"/>
                <w:i/>
                <w:iCs/>
                <w:sz w:val="24"/>
                <w:szCs w:val="24"/>
              </w:rPr>
              <w:t>(phòng Dân tộc; phòng Lao động TB và XH; phòng Nông nghiệp và PTNT)</w:t>
            </w:r>
            <w:r w:rsidRPr="00E867D1">
              <w:rPr>
                <w:rFonts w:ascii="Times New Roman" w:eastAsia="Times New Roman" w:hAnsi="Times New Roman" w:cs="Times New Roman"/>
                <w:sz w:val="24"/>
                <w:szCs w:val="24"/>
              </w:rPr>
              <w:t xml:space="preserve"> phối hợp với các phòng, ban, đơn vị có liên quan rà soát danh mục đầu tư, xác định rõ cơ cấu nguồn vốn lồng ghép trong kế hoạch thực hiện các Chương trình MTQG, xây dựng kế hoạch 5 năm và hằng năm của từng chương trình, giao phòng Tài chính - Kế hoạch tổng hợp; báo cáo UBND huyện và gửi các cơ quan chủ các chương trình có liên quan.</w:t>
            </w:r>
          </w:p>
        </w:tc>
        <w:tc>
          <w:tcPr>
            <w:tcW w:w="1304" w:type="pct"/>
            <w:shd w:val="clear" w:color="auto" w:fill="auto"/>
            <w:vAlign w:val="center"/>
            <w:hideMark/>
          </w:tcPr>
          <w:p w:rsidR="00C16C27" w:rsidRPr="00E867D1" w:rsidRDefault="00670314" w:rsidP="0067031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Sở Kế hoạch và Đầu tư tiếp thu </w:t>
            </w:r>
            <w:r w:rsidR="00C16C27" w:rsidRPr="00E867D1">
              <w:rPr>
                <w:rFonts w:ascii="Times New Roman" w:eastAsia="Times New Roman" w:hAnsi="Times New Roman" w:cs="Times New Roman"/>
                <w:sz w:val="24"/>
                <w:szCs w:val="24"/>
              </w:rPr>
              <w:t>ý kiến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976"/>
          <w:tblHeader/>
        </w:trPr>
        <w:tc>
          <w:tcPr>
            <w:tcW w:w="188" w:type="pct"/>
            <w:vMerge w:val="restar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16</w:t>
            </w:r>
          </w:p>
        </w:tc>
        <w:tc>
          <w:tcPr>
            <w:tcW w:w="700" w:type="pct"/>
            <w:vMerge w:val="restar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An tỉnh Đăk Nông</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Qua nghiên cứu, Công an tỉnh cơ bản thống nhất các nội dung trong dự thảo Nghị quyết; tuy nhiên, cần nghiên cứu:</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Công văn số 909/CAT-PA04 ngày 13/6/2022 </w:t>
            </w:r>
          </w:p>
        </w:tc>
      </w:tr>
      <w:tr w:rsidR="00C16C27" w:rsidRPr="00E867D1" w:rsidTr="002012EB">
        <w:trPr>
          <w:cantSplit/>
          <w:trHeight w:val="3392"/>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Tại Điều 3 của Dự thảo, đề nghị xác định nguồn vốn thực hiện các chương trình mục tiêu quốc gia cho phù hợp các quy định tại điểm c, khoản 2 Điều 7, Điều 9, Điều 10, Điều 11, Điều 12 Nghị định số 27/2022/NĐ-CP ngày 19/4/2022 của Chính phủ.</w:t>
            </w:r>
          </w:p>
        </w:tc>
        <w:tc>
          <w:tcPr>
            <w:tcW w:w="1304"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Sở Kế hoạch và Đầu tư ghi nhận ý kiến góp ý; tuy nhiên,việc xác định nguồn vốn thưc hiện, Sở KHĐT sẽ không đưa vào dự thảo Nghị quyết, với lý do: trên cơ sở Nghị quyết về cơ chế lồng ghép và các nguồn vốn được giao, UBND cấp huyện, cấp xã xem xét nhu cầu cần thiết phải đầu tư, từ đó, tiến hành lồng ghép giữa các nguồn vốn có liên quan.</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2145"/>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Tại điểm a, khoản 2 Điều 6, đề nghị chỉnh sửa “… các địa phương từ xã, huyện, thị xã, …” thành “… các địa phương từ xã, huyện, thị xã, …”; rà soát, sửa đổi cụm từ “quy hoạch xây dựng nông thôn” thành “quy hoạch nông thôn: theo quy địn tại điểm a, khoản 18, Điều 8 Luật sửa đổi, bổ sung một số điều của 37 Luật có liên quan đến quy hoạch số 35/2018/QH14 ngày 20/11/2018 của Quốc Hội.</w:t>
            </w:r>
          </w:p>
        </w:tc>
        <w:tc>
          <w:tcPr>
            <w:tcW w:w="1304" w:type="pct"/>
            <w:shd w:val="clear" w:color="auto" w:fill="auto"/>
            <w:vAlign w:val="center"/>
            <w:hideMark/>
          </w:tcPr>
          <w:p w:rsidR="00C16C27" w:rsidRPr="00E867D1" w:rsidRDefault="008C5B2D" w:rsidP="008C5B2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Sở Kế hoạch và Đầu tư tiếp thu, </w:t>
            </w:r>
            <w:r w:rsidR="00C16C27" w:rsidRPr="00E867D1">
              <w:rPr>
                <w:rFonts w:ascii="Times New Roman" w:eastAsia="Times New Roman" w:hAnsi="Times New Roman" w:cs="Times New Roman"/>
                <w:sz w:val="24"/>
                <w:szCs w:val="24"/>
              </w:rPr>
              <w:t xml:space="preserve">chỉnh sửa theo ý kiến </w:t>
            </w:r>
            <w:r w:rsidR="00C16C27">
              <w:rPr>
                <w:rFonts w:ascii="Times New Roman" w:eastAsia="Times New Roman" w:hAnsi="Times New Roman" w:cs="Times New Roman"/>
                <w:sz w:val="24"/>
                <w:szCs w:val="24"/>
              </w:rPr>
              <w:t>của đơn vị</w:t>
            </w:r>
            <w:r w:rsidR="00C16C27" w:rsidRPr="00E867D1">
              <w:rPr>
                <w:rFonts w:ascii="Times New Roman" w:eastAsia="Times New Roman" w:hAnsi="Times New Roman" w:cs="Times New Roman"/>
                <w:sz w:val="24"/>
                <w:szCs w:val="24"/>
              </w:rPr>
              <w:t>.</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1110"/>
          <w:tblHeader/>
        </w:trPr>
        <w:tc>
          <w:tcPr>
            <w:tcW w:w="188" w:type="pct"/>
            <w:vMerge w:val="restar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17</w:t>
            </w:r>
          </w:p>
        </w:tc>
        <w:tc>
          <w:tcPr>
            <w:tcW w:w="700" w:type="pct"/>
            <w:vMerge w:val="restar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Sở Nông nghiệp và PTNT</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Sở Nông nghiệp và PTNT cơ bản thống nhất với nội dung Dự thảo Nghị quyết; tuy nhiên có một số ý kiến góp ý như sau:</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Công văn số 1328/SNN-KHTC ngày 13/6/2022</w:t>
            </w:r>
          </w:p>
        </w:tc>
      </w:tr>
      <w:tr w:rsidR="00C16C27" w:rsidRPr="00E867D1" w:rsidTr="002012EB">
        <w:trPr>
          <w:cantSplit/>
          <w:trHeight w:val="4125"/>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1. Tại Điều 4 Dự thảo Nghị quyết quy định, “Nội dung lồng ghép các nguồn vốn”, đề nghị đơn vị soạn thảo xem xét bổ sung nội dung sau:</w:t>
            </w:r>
            <w:r w:rsidRPr="00E867D1">
              <w:rPr>
                <w:rFonts w:ascii="Times New Roman" w:eastAsia="Times New Roman" w:hAnsi="Times New Roman" w:cs="Times New Roman"/>
                <w:sz w:val="24"/>
                <w:szCs w:val="24"/>
              </w:rPr>
              <w:br/>
              <w:t>- Bổ sung các dự án hỗ trợ phát triển chính thức (ODA), vốn viện trợ phi Chính phủ (NGO).</w:t>
            </w:r>
            <w:r w:rsidRPr="00E867D1">
              <w:rPr>
                <w:rFonts w:ascii="Times New Roman" w:eastAsia="Times New Roman" w:hAnsi="Times New Roman" w:cs="Times New Roman"/>
                <w:sz w:val="24"/>
                <w:szCs w:val="24"/>
              </w:rPr>
              <w:br/>
              <w:t>- Lý do điều chỉnh: Tại điểm c, khoản 1, Điều 3 Quy định, kèm Dự thảo Nghị quyết, quy định các nguồn vốn thực hiện lồng ghép, gồm: “Nguồn vốn hỗ trợ phát triển chính thức (ODA), vốn viện trợ phi Chính phủ (NGO)”. Tuy nhiên, tại Điều 4 chưa đề cập đến “Nguồn vốn hỗ trợ phát triển chính thức (ODA), vốn viện trợ phi Chính phủ (NGO)”; đặc biệt là đối với nguồn vốn ODA hỗ trợ không hoàn lại theo Nghị định số 114/2021/NĐ-CP ngày 16/12/2021 của Chính phủ, về quản lý và sử dụng vốn hỗ trợ phát triển chính thức (ODA) và vốn vay ưu đãi của nhà tài trợ nước ngoài.</w:t>
            </w:r>
          </w:p>
        </w:tc>
        <w:tc>
          <w:tcPr>
            <w:tcW w:w="1304" w:type="pct"/>
            <w:shd w:val="clear" w:color="auto" w:fill="auto"/>
            <w:vAlign w:val="center"/>
            <w:hideMark/>
          </w:tcPr>
          <w:p w:rsidR="00C16C27" w:rsidRPr="00E867D1" w:rsidRDefault="00C16C27" w:rsidP="007202DA">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Sở Kế hoạch và Đầu tư </w:t>
            </w:r>
            <w:r w:rsidRPr="00E867D1">
              <w:rPr>
                <w:rFonts w:ascii="Times New Roman" w:eastAsia="Times New Roman" w:hAnsi="Times New Roman" w:cs="Times New Roman"/>
                <w:color w:val="000000"/>
                <w:sz w:val="24"/>
                <w:szCs w:val="24"/>
              </w:rPr>
              <w:t>tiếp thu</w:t>
            </w:r>
            <w:r w:rsidR="007202DA">
              <w:rPr>
                <w:rFonts w:ascii="Times New Roman" w:eastAsia="Times New Roman" w:hAnsi="Times New Roman" w:cs="Times New Roman"/>
                <w:color w:val="000000"/>
                <w:sz w:val="24"/>
                <w:szCs w:val="24"/>
              </w:rPr>
              <w:t xml:space="preserve">, chỉnh sửa </w:t>
            </w:r>
            <w:r w:rsidRPr="00E867D1">
              <w:rPr>
                <w:rFonts w:ascii="Times New Roman" w:eastAsia="Times New Roman" w:hAnsi="Times New Roman" w:cs="Times New Roman"/>
                <w:sz w:val="24"/>
                <w:szCs w:val="24"/>
              </w:rPr>
              <w:t>theo ý kiến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1770"/>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E867D1">
              <w:rPr>
                <w:rFonts w:ascii="Times New Roman" w:eastAsia="Times New Roman" w:hAnsi="Times New Roman" w:cs="Times New Roman"/>
                <w:sz w:val="24"/>
                <w:szCs w:val="24"/>
              </w:rPr>
              <w:t xml:space="preserve">Tại điểm b khoản 6 Điều 4 của Dự thảo Nghị quyết “Giao huyện làm chủ đầu tư” đề nghị sửa thành “Giao huyện quản lý sử dụng”. Vì theo cơ chế đầu tư tại điểm c khoản 1 mục V của Quyết định số 236/QĐ-TTg ngày 22/02/2022 của Thủ tướng Chính phủ, quy định Chủ đầu tư là cấp xã. </w:t>
            </w:r>
          </w:p>
        </w:tc>
        <w:tc>
          <w:tcPr>
            <w:tcW w:w="1304" w:type="pct"/>
            <w:shd w:val="clear" w:color="auto" w:fill="auto"/>
            <w:vAlign w:val="center"/>
            <w:hideMark/>
          </w:tcPr>
          <w:p w:rsidR="00C16C27" w:rsidRPr="00E867D1" w:rsidRDefault="00C16C27" w:rsidP="00344051">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Sở Kế hoạch và Đầu tư </w:t>
            </w:r>
            <w:r w:rsidRPr="00E867D1">
              <w:rPr>
                <w:rFonts w:ascii="Times New Roman" w:eastAsia="Times New Roman" w:hAnsi="Times New Roman" w:cs="Times New Roman"/>
                <w:color w:val="000000"/>
                <w:sz w:val="24"/>
                <w:szCs w:val="24"/>
              </w:rPr>
              <w:t xml:space="preserve">tiếp thu </w:t>
            </w:r>
            <w:r w:rsidRPr="00E867D1">
              <w:rPr>
                <w:rFonts w:ascii="Times New Roman" w:eastAsia="Times New Roman" w:hAnsi="Times New Roman" w:cs="Times New Roman"/>
                <w:sz w:val="24"/>
                <w:szCs w:val="24"/>
              </w:rPr>
              <w:t>ý kiến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1333"/>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E867D1">
              <w:rPr>
                <w:rFonts w:ascii="Times New Roman" w:eastAsia="Times New Roman" w:hAnsi="Times New Roman" w:cs="Times New Roman"/>
                <w:sz w:val="24"/>
                <w:szCs w:val="24"/>
              </w:rPr>
              <w:t>Tại Điều 5 của Dự thảo Nghị quyết, đề xuất tỷ lệ cụ thể: Có văn bản kèm theo.</w:t>
            </w:r>
          </w:p>
        </w:tc>
        <w:tc>
          <w:tcPr>
            <w:tcW w:w="1304" w:type="pct"/>
            <w:shd w:val="clear" w:color="auto" w:fill="auto"/>
            <w:vAlign w:val="center"/>
            <w:hideMark/>
          </w:tcPr>
          <w:p w:rsidR="00C16C27" w:rsidRPr="00E867D1" w:rsidRDefault="00C16C27" w:rsidP="00916DD8">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Sở Kế hoạch và Đầu tư </w:t>
            </w:r>
            <w:r w:rsidR="00916DD8">
              <w:rPr>
                <w:rFonts w:ascii="Times New Roman" w:eastAsia="Times New Roman" w:hAnsi="Times New Roman" w:cs="Times New Roman"/>
                <w:sz w:val="24"/>
                <w:szCs w:val="24"/>
              </w:rPr>
              <w:t>tiếp thu ý kiến đề xuất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2850"/>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xml:space="preserve">4. Kiến nghị: Đối với những công trình trên phạm vi một xã do xã làm chủ đầu tư và đáp ứng các tiêu chí quy định tại Điều 14 của Nghị định 27/2022/NĐ-CP ngày 19/4/2022 của Chính phủ thì nên quy định bắt buộc phải thực hiện theo cơ chế đặc thù để giảm thời gian, kinh phí lập và thẩm định hồ sơ xây dựng; đồng thời tạo mọi điều kiện cho cấp cơ sở chủ động, linh hoạt, được trao quyền quyết định, để người dân thực hiện vai trò chủ thể thực sự trong triển khai Chương trình MTQG nói chung và trong chương trình xây dựng nông thôn mới nói riêng.   </w:t>
            </w:r>
          </w:p>
        </w:tc>
        <w:tc>
          <w:tcPr>
            <w:tcW w:w="1304" w:type="pct"/>
            <w:shd w:val="clear" w:color="auto" w:fill="auto"/>
            <w:vAlign w:val="center"/>
            <w:hideMark/>
          </w:tcPr>
          <w:p w:rsidR="00C16C27" w:rsidRPr="00E867D1" w:rsidRDefault="00C16C27" w:rsidP="00B625A5">
            <w:pPr>
              <w:spacing w:after="0" w:line="240" w:lineRule="auto"/>
              <w:jc w:val="both"/>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Sở Kế hoạch và Đầu t</w:t>
            </w:r>
            <w:r w:rsidR="00B625A5">
              <w:rPr>
                <w:rFonts w:ascii="Times New Roman" w:eastAsia="Times New Roman" w:hAnsi="Times New Roman" w:cs="Times New Roman"/>
                <w:sz w:val="24"/>
                <w:szCs w:val="24"/>
              </w:rPr>
              <w:t>ư ghi nhận kiến nghị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sz w:val="24"/>
                <w:szCs w:val="24"/>
              </w:rPr>
            </w:pPr>
            <w:r w:rsidRPr="00E867D1">
              <w:rPr>
                <w:rFonts w:ascii="Times New Roman" w:eastAsia="Times New Roman" w:hAnsi="Times New Roman" w:cs="Times New Roman"/>
                <w:sz w:val="24"/>
                <w:szCs w:val="24"/>
              </w:rPr>
              <w:t> </w:t>
            </w:r>
          </w:p>
        </w:tc>
      </w:tr>
      <w:tr w:rsidR="00C16C27" w:rsidRPr="00E867D1" w:rsidTr="002012EB">
        <w:trPr>
          <w:cantSplit/>
          <w:trHeight w:val="58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II</w:t>
            </w:r>
          </w:p>
        </w:tc>
        <w:tc>
          <w:tcPr>
            <w:tcW w:w="3871" w:type="pct"/>
            <w:gridSpan w:val="3"/>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b/>
                <w:bCs/>
                <w:color w:val="000000"/>
                <w:sz w:val="24"/>
                <w:szCs w:val="24"/>
              </w:rPr>
            </w:pPr>
            <w:r w:rsidRPr="00E867D1">
              <w:rPr>
                <w:rFonts w:ascii="Times New Roman" w:eastAsia="Times New Roman" w:hAnsi="Times New Roman" w:cs="Times New Roman"/>
                <w:b/>
                <w:bCs/>
                <w:color w:val="000000"/>
                <w:sz w:val="24"/>
                <w:szCs w:val="24"/>
              </w:rPr>
              <w:t>Lấy ý kiến các đơn vị lần 2 (Công văn số 1402/SKH-QLN ngày 16/6/2022)</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UBND Thành phố Gia Nghĩa</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1582/UBND-TCKH ngày 17/6/2022</w:t>
            </w:r>
          </w:p>
        </w:tc>
      </w:tr>
      <w:tr w:rsidR="00C16C27" w:rsidRPr="00E867D1" w:rsidTr="002012EB">
        <w:trPr>
          <w:cantSplit/>
          <w:trHeight w:val="126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2</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Sở Tài nguyên và môi trường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1392/STNMT- CCBVMT ngày 16/6/2022</w:t>
            </w:r>
          </w:p>
        </w:tc>
      </w:tr>
      <w:tr w:rsidR="00C16C27" w:rsidRPr="00E867D1" w:rsidTr="002012EB">
        <w:trPr>
          <w:cantSplit/>
          <w:trHeight w:val="841"/>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3</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Y Tế</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1377/SYT-KHTC ngày 17/6/2023</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4</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Công thương</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767/SCT-QLNL ngày 17/6/2022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lastRenderedPageBreak/>
              <w:t>5</w:t>
            </w:r>
          </w:p>
        </w:tc>
        <w:tc>
          <w:tcPr>
            <w:tcW w:w="700" w:type="pct"/>
            <w:shd w:val="clear" w:color="000000" w:fill="FFFFFF"/>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UBND huyện Đăk R'lấp</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000000" w:fill="FFFFFF"/>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000000" w:fill="FFFFFF"/>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731/UBND-TCKH ngày 20/6/2022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6</w:t>
            </w:r>
          </w:p>
        </w:tc>
        <w:tc>
          <w:tcPr>
            <w:tcW w:w="700" w:type="pct"/>
            <w:shd w:val="clear" w:color="000000" w:fill="FFFFFF"/>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UBND huyện Tuy Đức</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000000" w:fill="FFFFFF"/>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000000" w:fill="FFFFFF"/>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677/UBND-TCKH ngày 20/6/2022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7</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Giao thông Vận tải</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767/SGTVT-KHTC ngày 17/6/2022</w:t>
            </w:r>
          </w:p>
        </w:tc>
      </w:tr>
      <w:tr w:rsidR="00C16C27" w:rsidRPr="00E867D1" w:rsidTr="002012EB">
        <w:trPr>
          <w:cantSplit/>
          <w:trHeight w:val="945"/>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8</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Sở Khoa học và Công nghệ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562/SKHCN-VP ngày 17/6/2023</w:t>
            </w:r>
          </w:p>
        </w:tc>
      </w:tr>
      <w:tr w:rsidR="00C16C27" w:rsidRPr="00E867D1" w:rsidTr="002012EB">
        <w:trPr>
          <w:cantSplit/>
          <w:trHeight w:val="1260"/>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9</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xml:space="preserve">Sở Lao động Thương binh - Xã hội </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Đồng ý với nội dung và hình thức trình bày văn bản.</w:t>
            </w:r>
          </w:p>
        </w:tc>
        <w:tc>
          <w:tcPr>
            <w:tcW w:w="1304"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1443/SLĐTBXH-BTXH&amp;PCTN, ngày 22/6/2022</w:t>
            </w:r>
          </w:p>
        </w:tc>
      </w:tr>
      <w:tr w:rsidR="00C16C27" w:rsidRPr="00E867D1" w:rsidTr="002012EB">
        <w:trPr>
          <w:cantSplit/>
          <w:trHeight w:val="754"/>
          <w:tblHeader/>
        </w:trPr>
        <w:tc>
          <w:tcPr>
            <w:tcW w:w="188" w:type="pc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10</w:t>
            </w:r>
          </w:p>
        </w:tc>
        <w:tc>
          <w:tcPr>
            <w:tcW w:w="700"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Xây dựng</w:t>
            </w: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Thống nhất với nội dung dự thảo.</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1145/SXD-CCGĐ, ngày 22/6/2022</w:t>
            </w:r>
          </w:p>
        </w:tc>
      </w:tr>
      <w:tr w:rsidR="00C16C27" w:rsidRPr="00E867D1" w:rsidTr="002012EB">
        <w:trPr>
          <w:cantSplit/>
          <w:trHeight w:val="1260"/>
          <w:tblHeader/>
        </w:trPr>
        <w:tc>
          <w:tcPr>
            <w:tcW w:w="188" w:type="pct"/>
            <w:shd w:val="clear" w:color="auto" w:fill="auto"/>
            <w:noWrap/>
            <w:vAlign w:val="center"/>
            <w:hideMark/>
          </w:tcPr>
          <w:p w:rsidR="00C16C27" w:rsidRPr="00EC68FB" w:rsidRDefault="00C16C27" w:rsidP="002012EB">
            <w:pPr>
              <w:spacing w:after="0" w:line="240" w:lineRule="auto"/>
              <w:jc w:val="center"/>
              <w:rPr>
                <w:rFonts w:ascii="Times New Roman" w:eastAsia="Times New Roman" w:hAnsi="Times New Roman" w:cs="Times New Roman"/>
                <w:sz w:val="24"/>
                <w:szCs w:val="24"/>
              </w:rPr>
            </w:pPr>
            <w:r w:rsidRPr="00EC68FB">
              <w:rPr>
                <w:rFonts w:ascii="Times New Roman" w:eastAsia="Times New Roman" w:hAnsi="Times New Roman" w:cs="Times New Roman"/>
                <w:sz w:val="24"/>
                <w:szCs w:val="24"/>
              </w:rPr>
              <w:t>11</w:t>
            </w:r>
          </w:p>
        </w:tc>
        <w:tc>
          <w:tcPr>
            <w:tcW w:w="700" w:type="pct"/>
            <w:shd w:val="clear" w:color="auto" w:fill="auto"/>
            <w:vAlign w:val="center"/>
            <w:hideMark/>
          </w:tcPr>
          <w:p w:rsidR="00C16C27" w:rsidRPr="00EC68FB" w:rsidRDefault="00C16C27" w:rsidP="002012EB">
            <w:pPr>
              <w:spacing w:after="0" w:line="240" w:lineRule="auto"/>
              <w:jc w:val="both"/>
              <w:rPr>
                <w:rFonts w:ascii="Times New Roman" w:eastAsia="Times New Roman" w:hAnsi="Times New Roman" w:cs="Times New Roman"/>
                <w:sz w:val="24"/>
                <w:szCs w:val="24"/>
              </w:rPr>
            </w:pPr>
            <w:r w:rsidRPr="00EC68FB">
              <w:rPr>
                <w:rFonts w:ascii="Times New Roman" w:eastAsia="Times New Roman" w:hAnsi="Times New Roman" w:cs="Times New Roman"/>
                <w:sz w:val="24"/>
                <w:szCs w:val="24"/>
              </w:rPr>
              <w:t>Công ty CP sách và thiết bị trường học tỉnh Đắk Nông</w:t>
            </w:r>
          </w:p>
        </w:tc>
        <w:tc>
          <w:tcPr>
            <w:tcW w:w="1867" w:type="pct"/>
            <w:shd w:val="clear" w:color="auto" w:fill="auto"/>
            <w:vAlign w:val="center"/>
            <w:hideMark/>
          </w:tcPr>
          <w:p w:rsidR="00C16C27" w:rsidRPr="00EC68FB" w:rsidRDefault="00C16C27" w:rsidP="002012EB">
            <w:pPr>
              <w:spacing w:after="0" w:line="240" w:lineRule="auto"/>
              <w:jc w:val="both"/>
              <w:rPr>
                <w:rFonts w:ascii="Times New Roman" w:eastAsia="Times New Roman" w:hAnsi="Times New Roman" w:cs="Times New Roman"/>
                <w:sz w:val="24"/>
                <w:szCs w:val="24"/>
              </w:rPr>
            </w:pPr>
            <w:r w:rsidRPr="00EC68FB">
              <w:rPr>
                <w:rFonts w:ascii="Times New Roman" w:eastAsia="Times New Roman" w:hAnsi="Times New Roman" w:cs="Times New Roman"/>
                <w:sz w:val="24"/>
                <w:szCs w:val="24"/>
              </w:rPr>
              <w:t>Thống nhất với nội dung dự thảo.</w:t>
            </w:r>
          </w:p>
        </w:tc>
        <w:tc>
          <w:tcPr>
            <w:tcW w:w="1304" w:type="pct"/>
            <w:shd w:val="clear" w:color="auto" w:fill="auto"/>
            <w:vAlign w:val="bottom"/>
            <w:hideMark/>
          </w:tcPr>
          <w:p w:rsidR="00C16C27" w:rsidRPr="00EC68FB" w:rsidRDefault="00C16C27" w:rsidP="002012EB">
            <w:pPr>
              <w:spacing w:after="0" w:line="240" w:lineRule="auto"/>
              <w:rPr>
                <w:rFonts w:ascii="Times New Roman" w:eastAsia="Times New Roman" w:hAnsi="Times New Roman" w:cs="Times New Roman"/>
                <w:sz w:val="24"/>
                <w:szCs w:val="24"/>
              </w:rPr>
            </w:pPr>
            <w:r w:rsidRPr="00EC68FB">
              <w:rPr>
                <w:rFonts w:ascii="Times New Roman" w:eastAsia="Times New Roman" w:hAnsi="Times New Roman" w:cs="Times New Roman"/>
                <w:sz w:val="24"/>
                <w:szCs w:val="24"/>
              </w:rPr>
              <w:t> </w:t>
            </w:r>
          </w:p>
        </w:tc>
        <w:tc>
          <w:tcPr>
            <w:tcW w:w="941" w:type="pct"/>
            <w:shd w:val="clear" w:color="auto" w:fill="auto"/>
            <w:vAlign w:val="center"/>
            <w:hideMark/>
          </w:tcPr>
          <w:p w:rsidR="00C16C27" w:rsidRPr="00EC68FB" w:rsidRDefault="00C16C27" w:rsidP="002012EB">
            <w:pPr>
              <w:spacing w:after="0" w:line="240" w:lineRule="auto"/>
              <w:jc w:val="center"/>
              <w:rPr>
                <w:rFonts w:ascii="Times New Roman" w:eastAsia="Times New Roman" w:hAnsi="Times New Roman" w:cs="Times New Roman"/>
                <w:sz w:val="24"/>
                <w:szCs w:val="24"/>
              </w:rPr>
            </w:pPr>
            <w:r w:rsidRPr="00EC68FB">
              <w:rPr>
                <w:rFonts w:ascii="Times New Roman" w:eastAsia="Times New Roman" w:hAnsi="Times New Roman" w:cs="Times New Roman"/>
                <w:sz w:val="24"/>
                <w:szCs w:val="24"/>
              </w:rPr>
              <w:t>Công văn số 22/CV-TBTH ngày 18/6/2022</w:t>
            </w:r>
          </w:p>
        </w:tc>
      </w:tr>
      <w:tr w:rsidR="00C16C27" w:rsidRPr="00E867D1" w:rsidTr="002012EB">
        <w:trPr>
          <w:cantSplit/>
          <w:trHeight w:val="930"/>
          <w:tblHeader/>
        </w:trPr>
        <w:tc>
          <w:tcPr>
            <w:tcW w:w="188" w:type="pct"/>
            <w:vMerge w:val="restart"/>
            <w:shd w:val="clear" w:color="auto" w:fill="auto"/>
            <w:noWrap/>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12</w:t>
            </w:r>
          </w:p>
        </w:tc>
        <w:tc>
          <w:tcPr>
            <w:tcW w:w="700" w:type="pct"/>
            <w:vMerge w:val="restar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Tư pháp</w:t>
            </w:r>
          </w:p>
        </w:tc>
        <w:tc>
          <w:tcPr>
            <w:tcW w:w="1867" w:type="pct"/>
            <w:shd w:val="clear" w:color="auto" w:fill="auto"/>
            <w:noWrap/>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Sau khi nghiên cứu nội dung dự thảo và các văn bản pháp luật có liên quan, Sở Tư pháp có ý kiến như sau:</w:t>
            </w:r>
          </w:p>
        </w:tc>
        <w:tc>
          <w:tcPr>
            <w:tcW w:w="1304" w:type="pct"/>
            <w:shd w:val="clear" w:color="auto" w:fill="auto"/>
            <w:vAlign w:val="bottom"/>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c>
          <w:tcPr>
            <w:tcW w:w="941" w:type="pct"/>
            <w:shd w:val="clear" w:color="auto" w:fill="auto"/>
            <w:vAlign w:val="center"/>
            <w:hideMark/>
          </w:tcPr>
          <w:p w:rsidR="00C16C27" w:rsidRPr="00E867D1" w:rsidRDefault="00C16C27" w:rsidP="002012EB">
            <w:pPr>
              <w:spacing w:after="0" w:line="240" w:lineRule="auto"/>
              <w:jc w:val="center"/>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Công văn số 762/STP-VBQPPL ngày 27/6/2022</w:t>
            </w:r>
          </w:p>
        </w:tc>
      </w:tr>
      <w:tr w:rsidR="00C16C27" w:rsidRPr="00E867D1" w:rsidTr="00572979">
        <w:trPr>
          <w:cantSplit/>
          <w:trHeight w:val="971"/>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p>
        </w:tc>
        <w:tc>
          <w:tcPr>
            <w:tcW w:w="1867" w:type="pct"/>
            <w:shd w:val="clear" w:color="auto" w:fill="auto"/>
            <w:vAlign w:val="center"/>
            <w:hideMark/>
          </w:tcPr>
          <w:p w:rsidR="00C16C27" w:rsidRPr="00E867D1" w:rsidRDefault="00C16C27" w:rsidP="002012EB">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1. Về nội dung dự thảo Nghị quyết:</w:t>
            </w:r>
            <w:r w:rsidRPr="00E867D1">
              <w:rPr>
                <w:rFonts w:ascii="Times New Roman" w:eastAsia="Times New Roman" w:hAnsi="Times New Roman" w:cs="Times New Roman"/>
                <w:color w:val="000000"/>
                <w:sz w:val="24"/>
                <w:szCs w:val="24"/>
              </w:rPr>
              <w:br/>
              <w:t>- Thống nhất tên Nghị quyết như sau: “Nghị quyết ban hành Quy địnhvề cơ chế lồng ghép nguồn vốn giữa các chương trình mục tiêu quốc gia, giữa các chương trình mục tiêu quốc gia và các chương trình, dự án khác trên địa bàn tỉnh Đắk Nông giai đoạn 2021-2025”.</w:t>
            </w:r>
            <w:r w:rsidRPr="00E867D1">
              <w:rPr>
                <w:rFonts w:ascii="Times New Roman" w:eastAsia="Times New Roman" w:hAnsi="Times New Roman" w:cs="Times New Roman"/>
                <w:color w:val="000000"/>
                <w:sz w:val="24"/>
                <w:szCs w:val="24"/>
              </w:rPr>
              <w:br/>
              <w:t>- Tại Khoản 2 Điều 1 dự thảo Quy định, đề nghị lược bỏ điểm a Khoản 2 Điều 1 dự thảo Quy định. Lý do: nguồn vốn được lồng ghép trong thực hiện các chương trình mục tiêu quốc gia bao gồm nguồn vốn ngân sách nhà nước (trung ương, địa phương) và nguồn vốn huy động hợp pháp khác (vốn huy động/đóng góp từ các doanh nghiệp, tổ chức, cá nhân) nên đối tượng áp dụng tại điểm a Khoản 2 Điều 1 dự thảo Quy định gồm “các Sở, ban, ngành, đoàn thể cấp tỉnh, Ủy ban nhân dân các huyện, thành phố sử dụng vốn ngân sách nhà nước để thực hiện chương trình” là không đầy đủ. Ngoài ra, dự thảo Quy định có nhiều nội dung trao quyền cho cấp xã (Khoản 8 Điều 2, Khoản 2 Điều 6 dự thảo Quy định) nhưng các đối tượng áp dụng quy định tại điểm a Khoản 2 Điều 1 dự thảo Quy định nêu trên lại liệt kê thiếu Ủy ban nhân dân cấp xã. Mặt khác, các đối tượng áp dụng tại điểm b Khoản 2 Điều 1 dự thảo Quy định đã bao hàm luôn các đối tượng tại điểm a Khoản 2 Điều 1 dự thảo Quy định.</w:t>
            </w:r>
            <w:r w:rsidRPr="00E867D1">
              <w:rPr>
                <w:rFonts w:ascii="Times New Roman" w:eastAsia="Times New Roman" w:hAnsi="Times New Roman" w:cs="Times New Roman"/>
                <w:color w:val="000000"/>
                <w:sz w:val="24"/>
                <w:szCs w:val="24"/>
              </w:rPr>
              <w:br/>
              <w:t>- Khoản 1, 2, 3, 4, 5 Điều 2 dự thảo Quy định đang quy định lại nguyên tắc lồng ghép nguồn vốn trong thực hiện các chương trình mục tiêu quốc gia đã được quy định tại Khoản 1 Điều 10 Nghị định số 27/2022/NĐ-CP ngày 19/4/2022. Mặt khác, Khoản 2 Điều 8 Luật Ban hành văn bản quy phạm pháp luật năm 2015 quy định “Văn bản quy phạm pháp luật phải quy định cụ thể nội dung cần điều chỉnh, không quy định chung chung, không quy định lại các nội dung đã được quy định trong văn bản quy phạm pháp luật khác”. Vì vậy, đề nghị bỏ các</w:t>
            </w:r>
            <w:r w:rsidR="00572979">
              <w:rPr>
                <w:rFonts w:ascii="Times New Roman" w:eastAsia="Times New Roman" w:hAnsi="Times New Roman" w:cs="Times New Roman"/>
                <w:color w:val="000000"/>
                <w:sz w:val="24"/>
                <w:szCs w:val="24"/>
              </w:rPr>
              <w:t xml:space="preserve"> khoản 1, 2, 3, 4, 5 Đ</w:t>
            </w:r>
            <w:r w:rsidRPr="00E867D1">
              <w:rPr>
                <w:rFonts w:ascii="Times New Roman" w:eastAsia="Times New Roman" w:hAnsi="Times New Roman" w:cs="Times New Roman"/>
                <w:color w:val="000000"/>
                <w:sz w:val="24"/>
                <w:szCs w:val="24"/>
              </w:rPr>
              <w:t>iều 2 dự thảo Quy định.</w:t>
            </w:r>
          </w:p>
        </w:tc>
        <w:tc>
          <w:tcPr>
            <w:tcW w:w="1304" w:type="pct"/>
            <w:shd w:val="clear" w:color="auto" w:fill="auto"/>
            <w:vAlign w:val="center"/>
            <w:hideMark/>
          </w:tcPr>
          <w:p w:rsidR="00C16C27" w:rsidRPr="00E867D1" w:rsidRDefault="00C16C27" w:rsidP="00B625A5">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Kế hoạch và Đầu tư tiếp thu ý kiến và đã bổ sung, chỉnh sửa theo ý kiến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r>
      <w:tr w:rsidR="00C16C27" w:rsidRPr="00E867D1" w:rsidTr="002012EB">
        <w:trPr>
          <w:cantSplit/>
          <w:trHeight w:val="5805"/>
          <w:tblHeader/>
        </w:trPr>
        <w:tc>
          <w:tcPr>
            <w:tcW w:w="188"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700" w:type="pct"/>
            <w:vMerge/>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p>
        </w:tc>
        <w:tc>
          <w:tcPr>
            <w:tcW w:w="1867" w:type="pct"/>
            <w:shd w:val="clear" w:color="auto" w:fill="auto"/>
            <w:vAlign w:val="center"/>
            <w:hideMark/>
          </w:tcPr>
          <w:p w:rsidR="00C16C27" w:rsidRPr="00E867D1" w:rsidRDefault="00C16C27" w:rsidP="00572979">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2. Về thể thức, kỹ thuật trình bày văn bản:</w:t>
            </w:r>
            <w:r w:rsidRPr="00E867D1">
              <w:rPr>
                <w:rFonts w:ascii="Times New Roman" w:eastAsia="Times New Roman" w:hAnsi="Times New Roman" w:cs="Times New Roman"/>
                <w:color w:val="000000"/>
                <w:sz w:val="24"/>
                <w:szCs w:val="24"/>
              </w:rPr>
              <w:br/>
              <w:t>- Phần căn cứ pháp lý: Thực hiện theo quy định tại Điều 61 Nghị định số 34/2016/NĐ-CP của Chính phủ quy định chi tiết một số điều và biện pháp thi hành Luật Ban hành văn bản QPPL (chỉ sử dụng làm căn cứ pháp lý đối với các văn bản quy phạm pháp luật).</w:t>
            </w:r>
            <w:r w:rsidRPr="00E867D1">
              <w:rPr>
                <w:rFonts w:ascii="Times New Roman" w:eastAsia="Times New Roman" w:hAnsi="Times New Roman" w:cs="Times New Roman"/>
                <w:color w:val="000000"/>
                <w:sz w:val="24"/>
                <w:szCs w:val="24"/>
              </w:rPr>
              <w:br/>
              <w:t xml:space="preserve">- Rà soát, sử dụng thống nhất cụm từ “Chương trình” (viết hoa chữ đầu tiên) khi đề cập cụ thể đến Chương trình </w:t>
            </w:r>
            <w:r w:rsidR="00572979">
              <w:rPr>
                <w:rFonts w:ascii="Times New Roman" w:eastAsia="Times New Roman" w:hAnsi="Times New Roman" w:cs="Times New Roman"/>
                <w:color w:val="000000"/>
                <w:sz w:val="24"/>
                <w:szCs w:val="24"/>
              </w:rPr>
              <w:t>MTQG</w:t>
            </w:r>
            <w:r w:rsidRPr="00E867D1">
              <w:rPr>
                <w:rFonts w:ascii="Times New Roman" w:eastAsia="Times New Roman" w:hAnsi="Times New Roman" w:cs="Times New Roman"/>
                <w:color w:val="000000"/>
                <w:sz w:val="24"/>
                <w:szCs w:val="24"/>
              </w:rPr>
              <w:t xml:space="preserve"> phát triển kinh tế - xã hội vùng đồng bào dân tộc thiểu số và miền núi, Chương trình mục tiêu quốc gia giảm nghèo bền vững hoặc Chương trình mục tiêu quốc gia xây dựng nông thôn mới; sử dụng cụm từ “chương trình” (không viết hoa) khi đề cập đến các chương trình </w:t>
            </w:r>
            <w:r w:rsidR="00572979">
              <w:rPr>
                <w:rFonts w:ascii="Times New Roman" w:eastAsia="Times New Roman" w:hAnsi="Times New Roman" w:cs="Times New Roman"/>
                <w:color w:val="000000"/>
                <w:sz w:val="24"/>
                <w:szCs w:val="24"/>
              </w:rPr>
              <w:t>MTQG</w:t>
            </w:r>
            <w:r w:rsidRPr="00E867D1">
              <w:rPr>
                <w:rFonts w:ascii="Times New Roman" w:eastAsia="Times New Roman" w:hAnsi="Times New Roman" w:cs="Times New Roman"/>
                <w:color w:val="000000"/>
                <w:sz w:val="24"/>
                <w:szCs w:val="24"/>
              </w:rPr>
              <w:t xml:space="preserve"> nói chung.</w:t>
            </w:r>
            <w:r w:rsidRPr="00E867D1">
              <w:rPr>
                <w:rFonts w:ascii="Times New Roman" w:eastAsia="Times New Roman" w:hAnsi="Times New Roman" w:cs="Times New Roman"/>
                <w:color w:val="000000"/>
                <w:sz w:val="24"/>
                <w:szCs w:val="24"/>
              </w:rPr>
              <w:br/>
              <w:t>- Rà soát lại các lỗi chính tả (“nhà trợ” sửa thành “nhà tài trợ”...), viết đúng tên văn bản quy phạm pháp luật “Luật Ngân sách nhà nước 2015” thay vì “Luật Ngân sách”.</w:t>
            </w:r>
            <w:r w:rsidRPr="00E867D1">
              <w:rPr>
                <w:rFonts w:ascii="Times New Roman" w:eastAsia="Times New Roman" w:hAnsi="Times New Roman" w:cs="Times New Roman"/>
                <w:color w:val="000000"/>
                <w:sz w:val="24"/>
                <w:szCs w:val="24"/>
              </w:rPr>
              <w:br/>
              <w:t>- Đánh số trang của dự thảo Quy định riêng, không đánh số trang liên tiếp giữa dự thảo Nghị quyết và dự thảo Quy định.</w:t>
            </w:r>
          </w:p>
        </w:tc>
        <w:tc>
          <w:tcPr>
            <w:tcW w:w="1304" w:type="pct"/>
            <w:shd w:val="clear" w:color="auto" w:fill="auto"/>
            <w:vAlign w:val="center"/>
            <w:hideMark/>
          </w:tcPr>
          <w:p w:rsidR="00C16C27" w:rsidRPr="00E867D1" w:rsidRDefault="00C16C27" w:rsidP="00B625A5">
            <w:pPr>
              <w:spacing w:after="0" w:line="240" w:lineRule="auto"/>
              <w:jc w:val="both"/>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Sở Kế hoạch và Đầu tư tiếp thu ý kiến và đã chỉnh sửa theo ý kiến của đơn vị.</w:t>
            </w:r>
          </w:p>
        </w:tc>
        <w:tc>
          <w:tcPr>
            <w:tcW w:w="941" w:type="pct"/>
            <w:shd w:val="clear" w:color="auto" w:fill="auto"/>
            <w:vAlign w:val="center"/>
            <w:hideMark/>
          </w:tcPr>
          <w:p w:rsidR="00C16C27" w:rsidRPr="00E867D1" w:rsidRDefault="00C16C27" w:rsidP="002012EB">
            <w:pPr>
              <w:spacing w:after="0" w:line="240" w:lineRule="auto"/>
              <w:rPr>
                <w:rFonts w:ascii="Times New Roman" w:eastAsia="Times New Roman" w:hAnsi="Times New Roman" w:cs="Times New Roman"/>
                <w:color w:val="000000"/>
                <w:sz w:val="24"/>
                <w:szCs w:val="24"/>
              </w:rPr>
            </w:pPr>
            <w:r w:rsidRPr="00E867D1">
              <w:rPr>
                <w:rFonts w:ascii="Times New Roman" w:eastAsia="Times New Roman" w:hAnsi="Times New Roman" w:cs="Times New Roman"/>
                <w:color w:val="000000"/>
                <w:sz w:val="24"/>
                <w:szCs w:val="24"/>
              </w:rPr>
              <w:t> </w:t>
            </w:r>
          </w:p>
        </w:tc>
      </w:tr>
    </w:tbl>
    <w:p w:rsidR="0067700C" w:rsidRDefault="0067700C"/>
    <w:sectPr w:rsidR="0067700C" w:rsidSect="00C16C27">
      <w:pgSz w:w="15840" w:h="12240" w:orient="landscape"/>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27"/>
    <w:rsid w:val="00344051"/>
    <w:rsid w:val="003A77B7"/>
    <w:rsid w:val="00536243"/>
    <w:rsid w:val="00572979"/>
    <w:rsid w:val="00670314"/>
    <w:rsid w:val="0067700C"/>
    <w:rsid w:val="00694094"/>
    <w:rsid w:val="006C5BDF"/>
    <w:rsid w:val="007202DA"/>
    <w:rsid w:val="008C5B2D"/>
    <w:rsid w:val="00916DD8"/>
    <w:rsid w:val="00B625A5"/>
    <w:rsid w:val="00C16C27"/>
    <w:rsid w:val="00D276E3"/>
    <w:rsid w:val="00DA01B6"/>
    <w:rsid w:val="00E85C0D"/>
    <w:rsid w:val="00EC68FB"/>
    <w:rsid w:val="00F16CF7"/>
    <w:rsid w:val="00F92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C2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C2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2203</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2022-11-23T03:04:00Z</dcterms:created>
  <dcterms:modified xsi:type="dcterms:W3CDTF">2022-11-23T03:04:00Z</dcterms:modified>
</cp:coreProperties>
</file>